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BA798" w14:textId="4BC85941" w:rsidR="00DB5770" w:rsidRPr="00E5119C" w:rsidRDefault="00514E57" w:rsidP="00514E57">
      <w:pPr>
        <w:jc w:val="center"/>
        <w:rPr>
          <w:rFonts w:ascii="Bernard MT Condensed" w:hAnsi="Bernard MT Condensed"/>
          <w:sz w:val="40"/>
          <w:szCs w:val="40"/>
        </w:rPr>
      </w:pPr>
      <w:r w:rsidRPr="00E5119C">
        <w:rPr>
          <w:rFonts w:ascii="Bernard MT Condensed" w:hAnsi="Bernard MT Condensed"/>
          <w:sz w:val="40"/>
          <w:szCs w:val="40"/>
        </w:rPr>
        <w:t>Droits et responsabilités civiques</w:t>
      </w:r>
    </w:p>
    <w:p w14:paraId="74166AB2" w14:textId="0F327B13" w:rsidR="00E5119C" w:rsidRDefault="00E5119C" w:rsidP="00E5119C">
      <w:pPr>
        <w:rPr>
          <w:rFonts w:asciiTheme="majorHAnsi" w:eastAsia="Times New Roman" w:hAnsiTheme="majorHAnsi" w:cstheme="majorHAnsi"/>
          <w:lang w:eastAsia="fr-CA"/>
        </w:rPr>
      </w:pPr>
    </w:p>
    <w:p w14:paraId="5BC602FF" w14:textId="0E8C9B0A" w:rsidR="00E5119C" w:rsidRPr="00227153" w:rsidRDefault="00E5119C" w:rsidP="00E5119C">
      <w:pPr>
        <w:spacing w:after="288"/>
        <w:rPr>
          <w:rFonts w:ascii="Bernard MT Condensed" w:eastAsia="Times New Roman" w:hAnsi="Bernard MT Condensed" w:cstheme="majorHAnsi"/>
          <w:sz w:val="32"/>
          <w:szCs w:val="32"/>
          <w:lang w:eastAsia="fr-CA"/>
        </w:rPr>
      </w:pPr>
      <w:r w:rsidRPr="00227153">
        <w:rPr>
          <w:rFonts w:ascii="Bernard MT Condensed" w:eastAsia="Times New Roman" w:hAnsi="Bernard MT Condensed" w:cstheme="majorHAnsi"/>
          <w:noProof/>
          <w:sz w:val="36"/>
          <w:szCs w:val="36"/>
          <w:lang w:eastAsia="fr-CA"/>
        </w:rPr>
        <w:drawing>
          <wp:anchor distT="0" distB="0" distL="114300" distR="114300" simplePos="0" relativeHeight="251659264" behindDoc="0" locked="0" layoutInCell="1" allowOverlap="1" wp14:anchorId="4CBFD1B6" wp14:editId="75DD1A5E">
            <wp:simplePos x="0" y="0"/>
            <wp:positionH relativeFrom="column">
              <wp:posOffset>0</wp:posOffset>
            </wp:positionH>
            <wp:positionV relativeFrom="paragraph">
              <wp:posOffset>28060</wp:posOffset>
            </wp:positionV>
            <wp:extent cx="2333625" cy="1579880"/>
            <wp:effectExtent l="0" t="0" r="9525" b="127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579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nard MT Condensed" w:eastAsia="Times New Roman" w:hAnsi="Bernard MT Condensed" w:cstheme="majorHAnsi"/>
          <w:sz w:val="32"/>
          <w:szCs w:val="32"/>
          <w:lang w:eastAsia="fr-CA"/>
        </w:rPr>
        <w:t>Q</w:t>
      </w:r>
      <w:r w:rsidRPr="00227153">
        <w:rPr>
          <w:rFonts w:ascii="Bernard MT Condensed" w:eastAsia="Times New Roman" w:hAnsi="Bernard MT Condensed" w:cstheme="majorHAnsi"/>
          <w:sz w:val="32"/>
          <w:szCs w:val="32"/>
          <w:lang w:eastAsia="fr-CA"/>
        </w:rPr>
        <w:t>U’EST-CE QU’UNE CONSTITUTION?</w:t>
      </w:r>
    </w:p>
    <w:p w14:paraId="566DD171" w14:textId="77777777" w:rsidR="00E5119C" w:rsidRPr="00E5119C" w:rsidRDefault="00E5119C" w:rsidP="00E5119C">
      <w:pPr>
        <w:spacing w:after="288"/>
        <w:rPr>
          <w:rFonts w:asciiTheme="majorHAnsi" w:eastAsia="Times New Roman" w:hAnsiTheme="majorHAnsi" w:cstheme="majorHAnsi"/>
          <w:sz w:val="24"/>
          <w:szCs w:val="24"/>
          <w:lang w:eastAsia="fr-CA"/>
        </w:rPr>
      </w:pPr>
      <w:r w:rsidRPr="00E5119C">
        <w:rPr>
          <w:rFonts w:asciiTheme="majorHAnsi" w:eastAsia="Times New Roman" w:hAnsiTheme="majorHAnsi" w:cstheme="majorHAnsi"/>
          <w:sz w:val="24"/>
          <w:szCs w:val="24"/>
          <w:lang w:eastAsia="fr-CA"/>
        </w:rPr>
        <w:t>Par définition, une constitution est le fondement politique et juridique d’une nation. Elle fixe les principes et les buts communs auxquels aspire une société. C’est en quelque sorte les règles qui établissent et régissent les rapports entre une nation et ses gouvernants. La constitution désigne aussi les principales institutions politiques et juridiques d’un pays (Chambre des communes, Sénat, Cour suprême, législatures provinciales, etc.) ainsi que leur fonctionnement. Elle établit aussi les processus d’adoption et d’application des lois, le partage des pouvoirs entre les niveaux de gouvernement (fédéral, provincial), ainsi que la responsabilité des tribunaux et des institutions politiques envers les citoyens. À cela s’ajoutent toutes les lois à caractère constitutionnel qui contribuent à l’évolution de l’ensemble de la nation, comme la Loi sur les langues officielles.</w:t>
      </w:r>
    </w:p>
    <w:tbl>
      <w:tblPr>
        <w:tblStyle w:val="Grilledutableau"/>
        <w:tblW w:w="0" w:type="auto"/>
        <w:tblLook w:val="04A0" w:firstRow="1" w:lastRow="0" w:firstColumn="1" w:lastColumn="0" w:noHBand="0" w:noVBand="1"/>
      </w:tblPr>
      <w:tblGrid>
        <w:gridCol w:w="3396"/>
        <w:gridCol w:w="6674"/>
      </w:tblGrid>
      <w:tr w:rsidR="00514E57" w14:paraId="76167F28" w14:textId="77777777" w:rsidTr="00E5119C">
        <w:tc>
          <w:tcPr>
            <w:tcW w:w="3396" w:type="dxa"/>
          </w:tcPr>
          <w:p w14:paraId="5CB93833" w14:textId="77777777" w:rsidR="00514E57" w:rsidRPr="00E5119C" w:rsidRDefault="00514E57">
            <w:pPr>
              <w:rPr>
                <w:b/>
                <w:bCs/>
                <w:sz w:val="24"/>
                <w:szCs w:val="24"/>
              </w:rPr>
            </w:pPr>
            <w:r w:rsidRPr="00E5119C">
              <w:rPr>
                <w:b/>
                <w:bCs/>
                <w:sz w:val="24"/>
                <w:szCs w:val="24"/>
              </w:rPr>
              <w:t>Loi constitutionnelle de 1982</w:t>
            </w:r>
          </w:p>
        </w:tc>
        <w:tc>
          <w:tcPr>
            <w:tcW w:w="6674" w:type="dxa"/>
          </w:tcPr>
          <w:p w14:paraId="48ADEF64" w14:textId="77777777" w:rsidR="00752B4F" w:rsidRPr="00E5119C" w:rsidRDefault="00514E57">
            <w:pPr>
              <w:rPr>
                <w:sz w:val="24"/>
                <w:szCs w:val="24"/>
              </w:rPr>
            </w:pPr>
            <w:r w:rsidRPr="00E5119C">
              <w:rPr>
                <w:sz w:val="24"/>
                <w:szCs w:val="24"/>
              </w:rPr>
              <w:t>La Loi constitutionnelle de1982 constitue un document capital de l’histoire du Canada. Elle marque l’obtention de sa pleine indépendance, en lui permettant de modifier sa Constitution sans l’approbation de la Grande</w:t>
            </w:r>
            <w:r w:rsidRPr="00E5119C">
              <w:rPr>
                <w:rFonts w:ascii="Cambria Math" w:hAnsi="Cambria Math" w:cs="Cambria Math"/>
                <w:sz w:val="24"/>
                <w:szCs w:val="24"/>
              </w:rPr>
              <w:t>‑</w:t>
            </w:r>
            <w:r w:rsidRPr="00E5119C">
              <w:rPr>
                <w:sz w:val="24"/>
                <w:szCs w:val="24"/>
              </w:rPr>
              <w:t>Bretagne, et ench</w:t>
            </w:r>
            <w:r w:rsidRPr="00E5119C">
              <w:rPr>
                <w:rFonts w:ascii="Calibri" w:hAnsi="Calibri" w:cs="Calibri"/>
                <w:sz w:val="24"/>
                <w:szCs w:val="24"/>
              </w:rPr>
              <w:t>â</w:t>
            </w:r>
            <w:r w:rsidRPr="00E5119C">
              <w:rPr>
                <w:sz w:val="24"/>
                <w:szCs w:val="24"/>
              </w:rPr>
              <w:t xml:space="preserve">sse </w:t>
            </w:r>
            <w:r w:rsidRPr="00E5119C">
              <w:rPr>
                <w:rFonts w:ascii="Calibri" w:hAnsi="Calibri" w:cs="Calibri"/>
                <w:sz w:val="24"/>
                <w:szCs w:val="24"/>
              </w:rPr>
              <w:t>é</w:t>
            </w:r>
            <w:r w:rsidRPr="00E5119C">
              <w:rPr>
                <w:sz w:val="24"/>
                <w:szCs w:val="24"/>
              </w:rPr>
              <w:t>galement la Charte des droits et libert</w:t>
            </w:r>
            <w:r w:rsidRPr="00E5119C">
              <w:rPr>
                <w:rFonts w:ascii="Calibri" w:hAnsi="Calibri" w:cs="Calibri"/>
                <w:sz w:val="24"/>
                <w:szCs w:val="24"/>
              </w:rPr>
              <w:t>é</w:t>
            </w:r>
            <w:r w:rsidRPr="00E5119C">
              <w:rPr>
                <w:sz w:val="24"/>
                <w:szCs w:val="24"/>
              </w:rPr>
              <w:t>s dans la Constitution du Canada qui constitue la loi supr</w:t>
            </w:r>
            <w:r w:rsidRPr="00E5119C">
              <w:rPr>
                <w:rFonts w:ascii="Calibri" w:hAnsi="Calibri" w:cs="Calibri"/>
                <w:sz w:val="24"/>
                <w:szCs w:val="24"/>
              </w:rPr>
              <w:t>ê</w:t>
            </w:r>
            <w:r w:rsidRPr="00E5119C">
              <w:rPr>
                <w:sz w:val="24"/>
                <w:szCs w:val="24"/>
              </w:rPr>
              <w:t xml:space="preserve">me du pays. La </w:t>
            </w:r>
            <w:proofErr w:type="spellStart"/>
            <w:r w:rsidRPr="00E5119C">
              <w:rPr>
                <w:sz w:val="24"/>
                <w:szCs w:val="24"/>
              </w:rPr>
              <w:t>Loia</w:t>
            </w:r>
            <w:proofErr w:type="spellEnd"/>
            <w:r w:rsidRPr="00E5119C">
              <w:rPr>
                <w:sz w:val="24"/>
                <w:szCs w:val="24"/>
              </w:rPr>
              <w:t xml:space="preserve"> </w:t>
            </w:r>
            <w:r w:rsidRPr="00E5119C">
              <w:rPr>
                <w:rFonts w:ascii="Calibri" w:hAnsi="Calibri" w:cs="Calibri"/>
                <w:sz w:val="24"/>
                <w:szCs w:val="24"/>
              </w:rPr>
              <w:t>é</w:t>
            </w:r>
            <w:r w:rsidRPr="00E5119C">
              <w:rPr>
                <w:sz w:val="24"/>
                <w:szCs w:val="24"/>
              </w:rPr>
              <w:t>t</w:t>
            </w:r>
            <w:r w:rsidRPr="00E5119C">
              <w:rPr>
                <w:rFonts w:ascii="Calibri" w:hAnsi="Calibri" w:cs="Calibri"/>
                <w:sz w:val="24"/>
                <w:szCs w:val="24"/>
              </w:rPr>
              <w:t>é</w:t>
            </w:r>
            <w:r w:rsidRPr="00E5119C">
              <w:rPr>
                <w:sz w:val="24"/>
                <w:szCs w:val="24"/>
              </w:rPr>
              <w:t xml:space="preserve"> adopt</w:t>
            </w:r>
            <w:r w:rsidRPr="00E5119C">
              <w:rPr>
                <w:rFonts w:ascii="Calibri" w:hAnsi="Calibri" w:cs="Calibri"/>
                <w:sz w:val="24"/>
                <w:szCs w:val="24"/>
              </w:rPr>
              <w:t>é</w:t>
            </w:r>
            <w:r w:rsidRPr="00E5119C">
              <w:rPr>
                <w:sz w:val="24"/>
                <w:szCs w:val="24"/>
              </w:rPr>
              <w:t>e apr</w:t>
            </w:r>
            <w:r w:rsidRPr="00E5119C">
              <w:rPr>
                <w:rFonts w:ascii="Calibri" w:hAnsi="Calibri" w:cs="Calibri"/>
                <w:sz w:val="24"/>
                <w:szCs w:val="24"/>
              </w:rPr>
              <w:t>è</w:t>
            </w:r>
            <w:r w:rsidRPr="00E5119C">
              <w:rPr>
                <w:sz w:val="24"/>
                <w:szCs w:val="24"/>
              </w:rPr>
              <w:t xml:space="preserve">s une lutte politique et juridique acharnée de 18 mois qui a dominé les gros titres des médias et les programmes de chaque gouvernement du pays. </w:t>
            </w:r>
          </w:p>
          <w:p w14:paraId="53C5BAA0" w14:textId="77777777" w:rsidR="00514E57" w:rsidRPr="00E5119C" w:rsidRDefault="00561DF8">
            <w:pPr>
              <w:rPr>
                <w:sz w:val="16"/>
                <w:szCs w:val="16"/>
              </w:rPr>
            </w:pPr>
            <w:hyperlink r:id="rId8" w:history="1">
              <w:r w:rsidR="00752B4F" w:rsidRPr="00E5119C">
                <w:rPr>
                  <w:rStyle w:val="Lienhypertexte"/>
                  <w:sz w:val="16"/>
                  <w:szCs w:val="16"/>
                </w:rPr>
                <w:t>https://thecanadianencyclopedia.ca/fr/article/loi-constitutionnelle-de-1982</w:t>
              </w:r>
            </w:hyperlink>
          </w:p>
          <w:p w14:paraId="63956A28" w14:textId="77777777" w:rsidR="00752B4F" w:rsidRPr="00E5119C" w:rsidRDefault="00752B4F">
            <w:pPr>
              <w:rPr>
                <w:sz w:val="24"/>
                <w:szCs w:val="24"/>
              </w:rPr>
            </w:pPr>
          </w:p>
        </w:tc>
      </w:tr>
      <w:tr w:rsidR="00752B4F" w14:paraId="5CD7249D" w14:textId="77777777" w:rsidTr="00E5119C">
        <w:tc>
          <w:tcPr>
            <w:tcW w:w="3396" w:type="dxa"/>
            <w:vMerge w:val="restart"/>
          </w:tcPr>
          <w:p w14:paraId="581920AF" w14:textId="77777777" w:rsidR="00752B4F" w:rsidRPr="00E5119C" w:rsidRDefault="00752B4F">
            <w:pPr>
              <w:rPr>
                <w:b/>
                <w:bCs/>
                <w:sz w:val="24"/>
                <w:szCs w:val="24"/>
              </w:rPr>
            </w:pPr>
            <w:r w:rsidRPr="00E5119C">
              <w:rPr>
                <w:b/>
                <w:bCs/>
                <w:sz w:val="24"/>
                <w:szCs w:val="24"/>
              </w:rPr>
              <w:t>La</w:t>
            </w:r>
            <w:r w:rsidRPr="00E5119C">
              <w:rPr>
                <w:b/>
                <w:bCs/>
                <w:i/>
                <w:iCs/>
                <w:sz w:val="24"/>
                <w:szCs w:val="24"/>
              </w:rPr>
              <w:t xml:space="preserve"> </w:t>
            </w:r>
            <w:r w:rsidRPr="00E5119C">
              <w:rPr>
                <w:b/>
                <w:bCs/>
                <w:sz w:val="24"/>
                <w:szCs w:val="24"/>
              </w:rPr>
              <w:t>Charte canadienne des droits et libertés</w:t>
            </w:r>
          </w:p>
          <w:p w14:paraId="5707BCDA" w14:textId="77777777" w:rsidR="00752B4F" w:rsidRPr="00E5119C" w:rsidRDefault="00752B4F">
            <w:pPr>
              <w:rPr>
                <w:b/>
                <w:bCs/>
                <w:sz w:val="24"/>
                <w:szCs w:val="24"/>
              </w:rPr>
            </w:pPr>
          </w:p>
          <w:p w14:paraId="5EE4EAE2" w14:textId="77777777" w:rsidR="00752B4F" w:rsidRPr="00E5119C" w:rsidRDefault="00752B4F">
            <w:pPr>
              <w:rPr>
                <w:b/>
                <w:bCs/>
                <w:sz w:val="24"/>
                <w:szCs w:val="24"/>
              </w:rPr>
            </w:pPr>
          </w:p>
          <w:p w14:paraId="0F13CB54" w14:textId="77777777" w:rsidR="00752B4F" w:rsidRPr="00E5119C" w:rsidRDefault="00752B4F" w:rsidP="00752B4F">
            <w:pPr>
              <w:jc w:val="center"/>
              <w:rPr>
                <w:b/>
                <w:bCs/>
                <w:sz w:val="24"/>
                <w:szCs w:val="24"/>
              </w:rPr>
            </w:pPr>
            <w:r w:rsidRPr="00E5119C">
              <w:rPr>
                <w:b/>
                <w:bCs/>
                <w:sz w:val="24"/>
                <w:szCs w:val="24"/>
              </w:rPr>
              <w:t>le 17 avril 1982</w:t>
            </w:r>
            <w:r w:rsidRPr="00E5119C">
              <w:rPr>
                <w:noProof/>
                <w:sz w:val="24"/>
                <w:szCs w:val="24"/>
              </w:rPr>
              <w:drawing>
                <wp:inline distT="0" distB="0" distL="0" distR="0" wp14:anchorId="224B7972" wp14:editId="447ED0FF">
                  <wp:extent cx="2011573" cy="1580322"/>
                  <wp:effectExtent l="0" t="0" r="8255" b="1270"/>
                  <wp:docPr id="1" name="Image 1" descr="Charte canadienne des droits et liber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e canadienne des droits et liberté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6299" cy="1584035"/>
                          </a:xfrm>
                          <a:prstGeom prst="rect">
                            <a:avLst/>
                          </a:prstGeom>
                          <a:noFill/>
                          <a:ln>
                            <a:noFill/>
                          </a:ln>
                        </pic:spPr>
                      </pic:pic>
                    </a:graphicData>
                  </a:graphic>
                </wp:inline>
              </w:drawing>
            </w:r>
          </w:p>
        </w:tc>
        <w:tc>
          <w:tcPr>
            <w:tcW w:w="6674" w:type="dxa"/>
          </w:tcPr>
          <w:p w14:paraId="056C0639" w14:textId="77777777" w:rsidR="00752B4F" w:rsidRPr="00E5119C" w:rsidRDefault="00752B4F" w:rsidP="00752B4F">
            <w:pPr>
              <w:rPr>
                <w:sz w:val="24"/>
                <w:szCs w:val="24"/>
              </w:rPr>
            </w:pPr>
            <w:r w:rsidRPr="00E5119C">
              <w:rPr>
                <w:sz w:val="24"/>
                <w:szCs w:val="24"/>
              </w:rPr>
              <w:t>La Charte canadienne des droits et libertés énonce les droits et libertés que les Canadiens estiment essentiels au maintien d'une société libre et démocratique.</w:t>
            </w:r>
          </w:p>
          <w:p w14:paraId="1C376EBC" w14:textId="77777777" w:rsidR="00752B4F" w:rsidRPr="00E5119C" w:rsidRDefault="00752B4F" w:rsidP="00752B4F">
            <w:pPr>
              <w:rPr>
                <w:sz w:val="24"/>
                <w:szCs w:val="24"/>
              </w:rPr>
            </w:pPr>
          </w:p>
          <w:p w14:paraId="159FD45A" w14:textId="6D29E09D" w:rsidR="00752B4F" w:rsidRPr="00E5119C" w:rsidRDefault="00752B4F" w:rsidP="00752B4F">
            <w:pPr>
              <w:rPr>
                <w:sz w:val="24"/>
                <w:szCs w:val="24"/>
              </w:rPr>
            </w:pPr>
            <w:r w:rsidRPr="00E5119C">
              <w:rPr>
                <w:sz w:val="24"/>
                <w:szCs w:val="24"/>
              </w:rPr>
              <w:t>La Charte fait partie de la Constitution canadienne, un ensemble de lois qui contient les règles de base sur la façon dont fonctionne notre pays. Ces règles portent notamment sur les pouvoirs du gouvernement fédéral et des gouvernements des provinces et territoires au Canada.</w:t>
            </w:r>
          </w:p>
          <w:p w14:paraId="7E84A354" w14:textId="77777777" w:rsidR="00E5119C" w:rsidRPr="00E5119C" w:rsidRDefault="00E5119C" w:rsidP="00E5119C">
            <w:pPr>
              <w:rPr>
                <w:rFonts w:eastAsia="Times New Roman" w:cstheme="minorHAnsi"/>
                <w:sz w:val="24"/>
                <w:szCs w:val="24"/>
                <w:lang w:eastAsia="fr-CA"/>
              </w:rPr>
            </w:pPr>
          </w:p>
          <w:p w14:paraId="21FC740D" w14:textId="431B0466" w:rsidR="00E5119C" w:rsidRPr="00E5119C" w:rsidRDefault="00E5119C" w:rsidP="00E5119C">
            <w:pPr>
              <w:spacing w:after="288"/>
              <w:rPr>
                <w:rFonts w:eastAsia="Times New Roman" w:cstheme="minorHAnsi"/>
                <w:sz w:val="24"/>
                <w:szCs w:val="24"/>
                <w:lang w:eastAsia="fr-CA"/>
              </w:rPr>
            </w:pPr>
            <w:r w:rsidRPr="00E5119C">
              <w:rPr>
                <w:rFonts w:eastAsia="Times New Roman" w:cstheme="minorHAnsi"/>
                <w:sz w:val="24"/>
                <w:szCs w:val="24"/>
                <w:lang w:eastAsia="fr-CA"/>
              </w:rPr>
              <w:t>Parce qu’elle a été enchâssée dans la constitution, la Charte se trouve, en effet, placée au-dessus de toutes les autres lois.</w:t>
            </w:r>
          </w:p>
          <w:p w14:paraId="7A9ADC25" w14:textId="77777777" w:rsidR="00E5119C" w:rsidRPr="00E5119C" w:rsidRDefault="00E5119C" w:rsidP="00752B4F">
            <w:pPr>
              <w:rPr>
                <w:sz w:val="24"/>
                <w:szCs w:val="24"/>
              </w:rPr>
            </w:pPr>
          </w:p>
          <w:p w14:paraId="2FA2410F" w14:textId="77777777" w:rsidR="00752B4F" w:rsidRPr="00E5119C" w:rsidRDefault="00561DF8" w:rsidP="00752B4F">
            <w:pPr>
              <w:rPr>
                <w:sz w:val="16"/>
                <w:szCs w:val="16"/>
              </w:rPr>
            </w:pPr>
            <w:hyperlink r:id="rId10" w:history="1">
              <w:r w:rsidR="00752B4F" w:rsidRPr="00E5119C">
                <w:rPr>
                  <w:rStyle w:val="Lienhypertexte"/>
                  <w:sz w:val="16"/>
                  <w:szCs w:val="16"/>
                </w:rPr>
                <w:t>https://www.canada.ca/fr/patrimoine-canadien/services/comment-droits-proteges/guide-charte-canadienne-droits-libertes.html</w:t>
              </w:r>
            </w:hyperlink>
          </w:p>
          <w:p w14:paraId="7EA6B769" w14:textId="77777777" w:rsidR="00752B4F" w:rsidRPr="00E5119C" w:rsidRDefault="00752B4F" w:rsidP="00752B4F">
            <w:pPr>
              <w:rPr>
                <w:sz w:val="24"/>
                <w:szCs w:val="24"/>
              </w:rPr>
            </w:pPr>
          </w:p>
        </w:tc>
      </w:tr>
      <w:tr w:rsidR="00752B4F" w14:paraId="49B9EF8A" w14:textId="77777777" w:rsidTr="00E5119C">
        <w:tc>
          <w:tcPr>
            <w:tcW w:w="3396" w:type="dxa"/>
            <w:vMerge/>
          </w:tcPr>
          <w:p w14:paraId="44A48369" w14:textId="77777777" w:rsidR="00752B4F" w:rsidRPr="00E5119C" w:rsidRDefault="00752B4F">
            <w:pPr>
              <w:rPr>
                <w:sz w:val="24"/>
                <w:szCs w:val="24"/>
              </w:rPr>
            </w:pPr>
          </w:p>
        </w:tc>
        <w:tc>
          <w:tcPr>
            <w:tcW w:w="6674" w:type="dxa"/>
          </w:tcPr>
          <w:p w14:paraId="76522DF4" w14:textId="77777777" w:rsidR="00752B4F" w:rsidRPr="00E5119C" w:rsidRDefault="00752B4F">
            <w:pPr>
              <w:rPr>
                <w:sz w:val="24"/>
                <w:szCs w:val="24"/>
              </w:rPr>
            </w:pPr>
            <w:r w:rsidRPr="00E5119C">
              <w:rPr>
                <w:i/>
                <w:iCs/>
                <w:sz w:val="24"/>
                <w:szCs w:val="24"/>
              </w:rPr>
              <w:t>Droit de vote</w:t>
            </w:r>
          </w:p>
        </w:tc>
      </w:tr>
      <w:tr w:rsidR="00752B4F" w14:paraId="4B75C645" w14:textId="77777777" w:rsidTr="00E5119C">
        <w:tc>
          <w:tcPr>
            <w:tcW w:w="3396" w:type="dxa"/>
            <w:vMerge/>
          </w:tcPr>
          <w:p w14:paraId="7D274B62" w14:textId="77777777" w:rsidR="00752B4F" w:rsidRPr="00E5119C" w:rsidRDefault="00752B4F">
            <w:pPr>
              <w:rPr>
                <w:sz w:val="24"/>
                <w:szCs w:val="24"/>
              </w:rPr>
            </w:pPr>
          </w:p>
        </w:tc>
        <w:tc>
          <w:tcPr>
            <w:tcW w:w="6674" w:type="dxa"/>
          </w:tcPr>
          <w:p w14:paraId="6783EF07" w14:textId="77777777" w:rsidR="00752B4F" w:rsidRPr="00E5119C" w:rsidRDefault="00752B4F">
            <w:pPr>
              <w:rPr>
                <w:sz w:val="24"/>
                <w:szCs w:val="24"/>
              </w:rPr>
            </w:pPr>
            <w:r w:rsidRPr="00E5119C">
              <w:rPr>
                <w:i/>
                <w:iCs/>
                <w:sz w:val="24"/>
                <w:szCs w:val="24"/>
              </w:rPr>
              <w:t>Droit de se déplacer</w:t>
            </w:r>
          </w:p>
        </w:tc>
      </w:tr>
      <w:tr w:rsidR="00752B4F" w14:paraId="635A4D64" w14:textId="77777777" w:rsidTr="00E5119C">
        <w:tc>
          <w:tcPr>
            <w:tcW w:w="3396" w:type="dxa"/>
            <w:vMerge/>
          </w:tcPr>
          <w:p w14:paraId="00442009" w14:textId="77777777" w:rsidR="00752B4F" w:rsidRPr="00E5119C" w:rsidRDefault="00752B4F">
            <w:pPr>
              <w:rPr>
                <w:sz w:val="24"/>
                <w:szCs w:val="24"/>
              </w:rPr>
            </w:pPr>
          </w:p>
        </w:tc>
        <w:tc>
          <w:tcPr>
            <w:tcW w:w="6674" w:type="dxa"/>
          </w:tcPr>
          <w:p w14:paraId="508D9A03" w14:textId="77777777" w:rsidR="00752B4F" w:rsidRPr="00E5119C" w:rsidRDefault="00752B4F">
            <w:pPr>
              <w:rPr>
                <w:sz w:val="24"/>
                <w:szCs w:val="24"/>
              </w:rPr>
            </w:pPr>
            <w:r w:rsidRPr="00E5119C">
              <w:rPr>
                <w:i/>
                <w:iCs/>
                <w:sz w:val="24"/>
                <w:szCs w:val="24"/>
              </w:rPr>
              <w:t>Droit de communiquer dans l’une ou l’autre langue officielle avec le Parlement ou le gouvernement du Canada</w:t>
            </w:r>
          </w:p>
        </w:tc>
      </w:tr>
      <w:tr w:rsidR="00752B4F" w14:paraId="7F9C4863" w14:textId="77777777" w:rsidTr="00E5119C">
        <w:tc>
          <w:tcPr>
            <w:tcW w:w="3396" w:type="dxa"/>
            <w:vMerge/>
          </w:tcPr>
          <w:p w14:paraId="1A57D790" w14:textId="77777777" w:rsidR="00752B4F" w:rsidRPr="00E5119C" w:rsidRDefault="00752B4F">
            <w:pPr>
              <w:rPr>
                <w:sz w:val="24"/>
                <w:szCs w:val="24"/>
              </w:rPr>
            </w:pPr>
          </w:p>
        </w:tc>
        <w:tc>
          <w:tcPr>
            <w:tcW w:w="6674" w:type="dxa"/>
          </w:tcPr>
          <w:p w14:paraId="36F567CF" w14:textId="77777777" w:rsidR="00752B4F" w:rsidRPr="00E5119C" w:rsidRDefault="00752B4F">
            <w:pPr>
              <w:rPr>
                <w:sz w:val="24"/>
                <w:szCs w:val="24"/>
              </w:rPr>
            </w:pPr>
            <w:r w:rsidRPr="00E5119C">
              <w:rPr>
                <w:i/>
                <w:iCs/>
                <w:sz w:val="24"/>
                <w:szCs w:val="24"/>
              </w:rPr>
              <w:t>Droit à l’instruction dans la langue de la minorité, à l’égalité</w:t>
            </w:r>
          </w:p>
        </w:tc>
      </w:tr>
      <w:tr w:rsidR="00752B4F" w14:paraId="23C19956" w14:textId="77777777" w:rsidTr="00E5119C">
        <w:tc>
          <w:tcPr>
            <w:tcW w:w="3396" w:type="dxa"/>
            <w:vMerge/>
          </w:tcPr>
          <w:p w14:paraId="2991F627" w14:textId="77777777" w:rsidR="00752B4F" w:rsidRPr="00E5119C" w:rsidRDefault="00752B4F">
            <w:pPr>
              <w:rPr>
                <w:sz w:val="24"/>
                <w:szCs w:val="24"/>
              </w:rPr>
            </w:pPr>
          </w:p>
        </w:tc>
        <w:tc>
          <w:tcPr>
            <w:tcW w:w="6674" w:type="dxa"/>
          </w:tcPr>
          <w:p w14:paraId="5F9CF721" w14:textId="77777777" w:rsidR="00752B4F" w:rsidRPr="00E5119C" w:rsidRDefault="00752B4F">
            <w:pPr>
              <w:rPr>
                <w:i/>
                <w:iCs/>
                <w:sz w:val="24"/>
                <w:szCs w:val="24"/>
              </w:rPr>
            </w:pPr>
            <w:r w:rsidRPr="00E5119C">
              <w:rPr>
                <w:i/>
                <w:iCs/>
                <w:sz w:val="24"/>
                <w:szCs w:val="24"/>
              </w:rPr>
              <w:t>Libertés de conscience</w:t>
            </w:r>
          </w:p>
        </w:tc>
      </w:tr>
      <w:tr w:rsidR="00752B4F" w14:paraId="79A7DFD2" w14:textId="77777777" w:rsidTr="00E5119C">
        <w:tc>
          <w:tcPr>
            <w:tcW w:w="3396" w:type="dxa"/>
            <w:vMerge/>
          </w:tcPr>
          <w:p w14:paraId="552444BE" w14:textId="77777777" w:rsidR="00752B4F" w:rsidRPr="00E5119C" w:rsidRDefault="00752B4F">
            <w:pPr>
              <w:rPr>
                <w:sz w:val="24"/>
                <w:szCs w:val="24"/>
              </w:rPr>
            </w:pPr>
          </w:p>
        </w:tc>
        <w:tc>
          <w:tcPr>
            <w:tcW w:w="6674" w:type="dxa"/>
          </w:tcPr>
          <w:p w14:paraId="6B6E1852" w14:textId="77777777" w:rsidR="00752B4F" w:rsidRPr="00E5119C" w:rsidRDefault="00752B4F">
            <w:pPr>
              <w:rPr>
                <w:i/>
                <w:iCs/>
                <w:sz w:val="24"/>
                <w:szCs w:val="24"/>
              </w:rPr>
            </w:pPr>
            <w:r w:rsidRPr="00E5119C">
              <w:rPr>
                <w:i/>
                <w:iCs/>
                <w:sz w:val="24"/>
                <w:szCs w:val="24"/>
              </w:rPr>
              <w:t>Libertés de religion</w:t>
            </w:r>
          </w:p>
        </w:tc>
      </w:tr>
      <w:tr w:rsidR="00752B4F" w14:paraId="12B822DD" w14:textId="77777777" w:rsidTr="00E5119C">
        <w:tc>
          <w:tcPr>
            <w:tcW w:w="3396" w:type="dxa"/>
            <w:vMerge/>
          </w:tcPr>
          <w:p w14:paraId="384279FE" w14:textId="77777777" w:rsidR="00752B4F" w:rsidRPr="00E5119C" w:rsidRDefault="00752B4F">
            <w:pPr>
              <w:rPr>
                <w:sz w:val="24"/>
                <w:szCs w:val="24"/>
              </w:rPr>
            </w:pPr>
          </w:p>
        </w:tc>
        <w:tc>
          <w:tcPr>
            <w:tcW w:w="6674" w:type="dxa"/>
          </w:tcPr>
          <w:p w14:paraId="694EE51B" w14:textId="77777777" w:rsidR="00752B4F" w:rsidRPr="00E5119C" w:rsidRDefault="00752B4F">
            <w:pPr>
              <w:rPr>
                <w:i/>
                <w:iCs/>
                <w:sz w:val="24"/>
                <w:szCs w:val="24"/>
              </w:rPr>
            </w:pPr>
            <w:r w:rsidRPr="00E5119C">
              <w:rPr>
                <w:i/>
                <w:iCs/>
                <w:sz w:val="24"/>
                <w:szCs w:val="24"/>
              </w:rPr>
              <w:t>Libertés de pensée</w:t>
            </w:r>
          </w:p>
        </w:tc>
      </w:tr>
      <w:tr w:rsidR="00752B4F" w14:paraId="11E06DE5" w14:textId="77777777" w:rsidTr="00E5119C">
        <w:tc>
          <w:tcPr>
            <w:tcW w:w="3396" w:type="dxa"/>
            <w:vMerge/>
          </w:tcPr>
          <w:p w14:paraId="3D1E3AE6" w14:textId="77777777" w:rsidR="00752B4F" w:rsidRPr="00E5119C" w:rsidRDefault="00752B4F">
            <w:pPr>
              <w:rPr>
                <w:sz w:val="24"/>
                <w:szCs w:val="24"/>
              </w:rPr>
            </w:pPr>
          </w:p>
        </w:tc>
        <w:tc>
          <w:tcPr>
            <w:tcW w:w="6674" w:type="dxa"/>
          </w:tcPr>
          <w:p w14:paraId="4BC64F63" w14:textId="77777777" w:rsidR="00752B4F" w:rsidRPr="00E5119C" w:rsidRDefault="00752B4F">
            <w:pPr>
              <w:rPr>
                <w:i/>
                <w:iCs/>
                <w:sz w:val="24"/>
                <w:szCs w:val="24"/>
              </w:rPr>
            </w:pPr>
            <w:r w:rsidRPr="00E5119C">
              <w:rPr>
                <w:i/>
                <w:iCs/>
                <w:sz w:val="24"/>
                <w:szCs w:val="24"/>
              </w:rPr>
              <w:t>Libertés de réunion pacifique</w:t>
            </w:r>
          </w:p>
        </w:tc>
      </w:tr>
      <w:tr w:rsidR="00752B4F" w14:paraId="7CA877A1" w14:textId="77777777" w:rsidTr="00E5119C">
        <w:tc>
          <w:tcPr>
            <w:tcW w:w="3396" w:type="dxa"/>
            <w:vMerge/>
          </w:tcPr>
          <w:p w14:paraId="69E4B75E" w14:textId="77777777" w:rsidR="00752B4F" w:rsidRPr="00E5119C" w:rsidRDefault="00752B4F">
            <w:pPr>
              <w:rPr>
                <w:sz w:val="24"/>
                <w:szCs w:val="24"/>
              </w:rPr>
            </w:pPr>
          </w:p>
        </w:tc>
        <w:tc>
          <w:tcPr>
            <w:tcW w:w="6674" w:type="dxa"/>
          </w:tcPr>
          <w:p w14:paraId="065B6E70" w14:textId="77777777" w:rsidR="00752B4F" w:rsidRPr="00E5119C" w:rsidRDefault="00752B4F">
            <w:pPr>
              <w:rPr>
                <w:i/>
                <w:iCs/>
                <w:sz w:val="24"/>
                <w:szCs w:val="24"/>
              </w:rPr>
            </w:pPr>
            <w:r w:rsidRPr="00E5119C">
              <w:rPr>
                <w:i/>
                <w:iCs/>
                <w:sz w:val="24"/>
                <w:szCs w:val="24"/>
              </w:rPr>
              <w:t>Libertés d’association</w:t>
            </w:r>
          </w:p>
        </w:tc>
      </w:tr>
      <w:tr w:rsidR="00752B4F" w14:paraId="6425E242" w14:textId="77777777" w:rsidTr="00E5119C">
        <w:tc>
          <w:tcPr>
            <w:tcW w:w="3396" w:type="dxa"/>
            <w:vMerge w:val="restart"/>
          </w:tcPr>
          <w:p w14:paraId="66025D7D" w14:textId="77777777" w:rsidR="00752B4F" w:rsidRPr="00E5119C" w:rsidRDefault="00752B4F">
            <w:pPr>
              <w:rPr>
                <w:b/>
                <w:bCs/>
                <w:sz w:val="24"/>
                <w:szCs w:val="24"/>
              </w:rPr>
            </w:pPr>
            <w:r w:rsidRPr="00E5119C">
              <w:rPr>
                <w:b/>
                <w:bCs/>
                <w:sz w:val="24"/>
                <w:szCs w:val="24"/>
              </w:rPr>
              <w:t>Les responsabilités liées à la citoyenneté canadienne</w:t>
            </w:r>
          </w:p>
        </w:tc>
        <w:tc>
          <w:tcPr>
            <w:tcW w:w="6674" w:type="dxa"/>
          </w:tcPr>
          <w:p w14:paraId="03C963F3" w14:textId="77777777" w:rsidR="00752B4F" w:rsidRPr="00E5119C" w:rsidRDefault="00752B4F">
            <w:pPr>
              <w:rPr>
                <w:sz w:val="24"/>
                <w:szCs w:val="24"/>
              </w:rPr>
            </w:pPr>
            <w:r w:rsidRPr="00E5119C">
              <w:rPr>
                <w:sz w:val="24"/>
                <w:szCs w:val="24"/>
              </w:rPr>
              <w:t>Tous les citoyens canadiens ont des droits et des responsabilités, qui nous viennent de notre passé, qui sont garantis par le droit canadien et qui reflètent nos traditions, notre identité et nos valeurs communes.</w:t>
            </w:r>
          </w:p>
          <w:p w14:paraId="600C0517" w14:textId="77777777" w:rsidR="00752B4F" w:rsidRPr="00E5119C" w:rsidRDefault="00561DF8">
            <w:pPr>
              <w:rPr>
                <w:sz w:val="16"/>
                <w:szCs w:val="16"/>
              </w:rPr>
            </w:pPr>
            <w:hyperlink r:id="rId11" w:history="1">
              <w:r w:rsidR="00752B4F" w:rsidRPr="00E5119C">
                <w:rPr>
                  <w:rStyle w:val="Lienhypertexte"/>
                  <w:sz w:val="16"/>
                  <w:szCs w:val="16"/>
                </w:rPr>
                <w:t>https://www.canada.ca/fr/immigration-refugies-citoyennete/organisation/publications-guides/decouvrir-canada/lisez-ligne/droits-responsabilites-citoyennete.html</w:t>
              </w:r>
            </w:hyperlink>
          </w:p>
          <w:p w14:paraId="482C3CD0" w14:textId="77777777" w:rsidR="00752B4F" w:rsidRPr="00E5119C" w:rsidRDefault="00752B4F">
            <w:pPr>
              <w:rPr>
                <w:sz w:val="24"/>
                <w:szCs w:val="24"/>
              </w:rPr>
            </w:pPr>
          </w:p>
        </w:tc>
      </w:tr>
      <w:tr w:rsidR="00752B4F" w14:paraId="287A483C" w14:textId="77777777" w:rsidTr="00E5119C">
        <w:tc>
          <w:tcPr>
            <w:tcW w:w="3396" w:type="dxa"/>
            <w:vMerge/>
          </w:tcPr>
          <w:p w14:paraId="1C65F0FE" w14:textId="77777777" w:rsidR="00752B4F" w:rsidRPr="00E5119C" w:rsidRDefault="00752B4F">
            <w:pPr>
              <w:rPr>
                <w:sz w:val="24"/>
                <w:szCs w:val="24"/>
              </w:rPr>
            </w:pPr>
          </w:p>
        </w:tc>
        <w:tc>
          <w:tcPr>
            <w:tcW w:w="6674" w:type="dxa"/>
          </w:tcPr>
          <w:p w14:paraId="0DDB1326" w14:textId="77777777" w:rsidR="00752B4F" w:rsidRPr="00E5119C" w:rsidRDefault="00752B4F">
            <w:pPr>
              <w:rPr>
                <w:i/>
                <w:iCs/>
                <w:sz w:val="24"/>
                <w:szCs w:val="24"/>
              </w:rPr>
            </w:pPr>
            <w:r w:rsidRPr="00E5119C">
              <w:rPr>
                <w:i/>
                <w:iCs/>
                <w:sz w:val="24"/>
                <w:szCs w:val="24"/>
              </w:rPr>
              <w:t>Responsabilités d’obéir aux lois</w:t>
            </w:r>
          </w:p>
        </w:tc>
      </w:tr>
      <w:tr w:rsidR="00752B4F" w14:paraId="39680E22" w14:textId="77777777" w:rsidTr="00E5119C">
        <w:tc>
          <w:tcPr>
            <w:tcW w:w="3396" w:type="dxa"/>
            <w:vMerge/>
          </w:tcPr>
          <w:p w14:paraId="7631FECF" w14:textId="77777777" w:rsidR="00752B4F" w:rsidRPr="00E5119C" w:rsidRDefault="00752B4F">
            <w:pPr>
              <w:rPr>
                <w:sz w:val="24"/>
                <w:szCs w:val="24"/>
              </w:rPr>
            </w:pPr>
          </w:p>
        </w:tc>
        <w:tc>
          <w:tcPr>
            <w:tcW w:w="6674" w:type="dxa"/>
          </w:tcPr>
          <w:p w14:paraId="7709434E" w14:textId="77777777" w:rsidR="00752B4F" w:rsidRPr="00E5119C" w:rsidRDefault="00752B4F">
            <w:pPr>
              <w:rPr>
                <w:i/>
                <w:iCs/>
                <w:sz w:val="24"/>
                <w:szCs w:val="24"/>
              </w:rPr>
            </w:pPr>
            <w:r w:rsidRPr="00E5119C">
              <w:rPr>
                <w:i/>
                <w:iCs/>
                <w:sz w:val="24"/>
                <w:szCs w:val="24"/>
              </w:rPr>
              <w:t>Responsabilités de payer ses impôts</w:t>
            </w:r>
          </w:p>
        </w:tc>
      </w:tr>
      <w:tr w:rsidR="00752B4F" w14:paraId="7A592D07" w14:textId="77777777" w:rsidTr="00E5119C">
        <w:tc>
          <w:tcPr>
            <w:tcW w:w="3396" w:type="dxa"/>
            <w:vMerge/>
          </w:tcPr>
          <w:p w14:paraId="67F2FF7F" w14:textId="77777777" w:rsidR="00752B4F" w:rsidRPr="00E5119C" w:rsidRDefault="00752B4F">
            <w:pPr>
              <w:rPr>
                <w:sz w:val="24"/>
                <w:szCs w:val="24"/>
              </w:rPr>
            </w:pPr>
          </w:p>
        </w:tc>
        <w:tc>
          <w:tcPr>
            <w:tcW w:w="6674" w:type="dxa"/>
          </w:tcPr>
          <w:p w14:paraId="7040A079" w14:textId="77777777" w:rsidR="00752B4F" w:rsidRPr="00E5119C" w:rsidRDefault="00752B4F">
            <w:pPr>
              <w:rPr>
                <w:i/>
                <w:iCs/>
                <w:sz w:val="24"/>
                <w:szCs w:val="24"/>
              </w:rPr>
            </w:pPr>
            <w:r w:rsidRPr="00E5119C">
              <w:rPr>
                <w:i/>
                <w:iCs/>
                <w:sz w:val="24"/>
                <w:szCs w:val="24"/>
              </w:rPr>
              <w:t>Responsabilités de servir comme juré</w:t>
            </w:r>
          </w:p>
        </w:tc>
      </w:tr>
      <w:tr w:rsidR="00752B4F" w14:paraId="359F7EFC" w14:textId="77777777" w:rsidTr="00E5119C">
        <w:tc>
          <w:tcPr>
            <w:tcW w:w="3396" w:type="dxa"/>
            <w:vMerge/>
          </w:tcPr>
          <w:p w14:paraId="4A21551C" w14:textId="77777777" w:rsidR="00752B4F" w:rsidRPr="00E5119C" w:rsidRDefault="00752B4F">
            <w:pPr>
              <w:rPr>
                <w:sz w:val="24"/>
                <w:szCs w:val="24"/>
              </w:rPr>
            </w:pPr>
          </w:p>
        </w:tc>
        <w:tc>
          <w:tcPr>
            <w:tcW w:w="6674" w:type="dxa"/>
          </w:tcPr>
          <w:p w14:paraId="7BCAFED7" w14:textId="77777777" w:rsidR="00752B4F" w:rsidRPr="00E5119C" w:rsidRDefault="00752B4F">
            <w:pPr>
              <w:rPr>
                <w:i/>
                <w:iCs/>
                <w:sz w:val="24"/>
                <w:szCs w:val="24"/>
              </w:rPr>
            </w:pPr>
            <w:r w:rsidRPr="00E5119C">
              <w:rPr>
                <w:i/>
                <w:iCs/>
                <w:sz w:val="24"/>
                <w:szCs w:val="24"/>
              </w:rPr>
              <w:t>Responsabilités de voter</w:t>
            </w:r>
          </w:p>
        </w:tc>
      </w:tr>
    </w:tbl>
    <w:p w14:paraId="2863C884" w14:textId="6E2CE017" w:rsidR="00752B4F" w:rsidRDefault="00086B91" w:rsidP="00514E57">
      <w:hyperlink r:id="rId12" w:history="1">
        <w:r w:rsidRPr="00E51279">
          <w:rPr>
            <w:rStyle w:val="Lienhypertexte"/>
            <w:rFonts w:cstheme="minorHAnsi"/>
            <w:i/>
            <w:iCs/>
            <w:sz w:val="16"/>
            <w:szCs w:val="16"/>
          </w:rPr>
          <w:t>https://www.rcinet.ca/politique-canadienne-fr/</w:t>
        </w:r>
      </w:hyperlink>
      <w:r w:rsidRPr="00E51279">
        <w:rPr>
          <w:rFonts w:cstheme="minorHAnsi"/>
          <w:i/>
          <w:iCs/>
          <w:sz w:val="16"/>
          <w:szCs w:val="16"/>
        </w:rPr>
        <w:t xml:space="preserve"> ; </w:t>
      </w:r>
      <w:hyperlink r:id="rId13" w:history="1">
        <w:r w:rsidRPr="00E51279">
          <w:rPr>
            <w:rStyle w:val="Lienhypertexte"/>
            <w:rFonts w:cstheme="minorHAnsi"/>
            <w:i/>
            <w:iCs/>
            <w:sz w:val="16"/>
            <w:szCs w:val="16"/>
          </w:rPr>
          <w:t>http://chv20curtis.weebly.com/</w:t>
        </w:r>
      </w:hyperlink>
      <w:r w:rsidRPr="00E51279">
        <w:rPr>
          <w:rFonts w:cstheme="minorHAnsi"/>
          <w:i/>
          <w:iCs/>
          <w:sz w:val="16"/>
          <w:szCs w:val="16"/>
        </w:rPr>
        <w:t xml:space="preserve"> ; </w:t>
      </w:r>
      <w:hyperlink r:id="rId14" w:history="1">
        <w:r w:rsidRPr="00E51279">
          <w:rPr>
            <w:rStyle w:val="Lienhypertexte"/>
            <w:rFonts w:cstheme="minorHAnsi"/>
            <w:i/>
            <w:iCs/>
            <w:sz w:val="16"/>
            <w:szCs w:val="16"/>
          </w:rPr>
          <w:t>https://chv20-russell.weebly.com/part-1-informed-citizenship.html</w:t>
        </w:r>
      </w:hyperlink>
    </w:p>
    <w:p w14:paraId="1710424D" w14:textId="1FCB2EAE" w:rsidR="00752B4F" w:rsidRDefault="00752B4F">
      <w:bookmarkStart w:id="0" w:name="_GoBack"/>
      <w:bookmarkEnd w:id="0"/>
    </w:p>
    <w:p w14:paraId="65CC4F59" w14:textId="77777777" w:rsidR="00752B4F" w:rsidRPr="00752B4F" w:rsidRDefault="00752B4F" w:rsidP="00514E57">
      <w:pPr>
        <w:rPr>
          <w:rFonts w:ascii="Bernard MT Condensed" w:hAnsi="Bernard MT Condensed"/>
          <w:sz w:val="28"/>
          <w:szCs w:val="28"/>
        </w:rPr>
      </w:pPr>
      <w:r w:rsidRPr="00752B4F">
        <w:rPr>
          <w:rFonts w:ascii="Bernard MT Condensed" w:hAnsi="Bernard MT Condensed"/>
          <w:sz w:val="28"/>
          <w:szCs w:val="28"/>
        </w:rPr>
        <w:t>Questions de réflexion :</w:t>
      </w:r>
    </w:p>
    <w:p w14:paraId="6A0CFF31" w14:textId="77777777" w:rsidR="00752B4F" w:rsidRDefault="00752B4F" w:rsidP="00752B4F">
      <w:pPr>
        <w:pStyle w:val="Paragraphedeliste"/>
        <w:numPr>
          <w:ilvl w:val="0"/>
          <w:numId w:val="1"/>
        </w:numPr>
        <w:ind w:left="426"/>
      </w:pPr>
      <w:r w:rsidRPr="00752B4F">
        <w:t xml:space="preserve">Quel droit garanti par la Charte a le plus influé sur la possibilité de poursuivre des études en français dans des écoles de langue française en Ontario? </w:t>
      </w:r>
    </w:p>
    <w:p w14:paraId="0FA6F04B" w14:textId="77777777" w:rsidR="00FB1FEB" w:rsidRDefault="00FB1FEB" w:rsidP="00FB1FEB">
      <w:pPr>
        <w:pStyle w:val="Paragraphedeliste"/>
        <w:ind w:left="426"/>
      </w:pPr>
    </w:p>
    <w:p w14:paraId="125D1988" w14:textId="77777777" w:rsidR="00752B4F" w:rsidRDefault="00752B4F" w:rsidP="00752B4F">
      <w:pPr>
        <w:pStyle w:val="Paragraphedeliste"/>
        <w:numPr>
          <w:ilvl w:val="0"/>
          <w:numId w:val="1"/>
        </w:numPr>
        <w:ind w:left="426"/>
      </w:pPr>
      <w:r w:rsidRPr="00752B4F">
        <w:t xml:space="preserve">Quel rôle joue la jurisprudence dans l’interprétation et l’application de la Charte? </w:t>
      </w:r>
    </w:p>
    <w:p w14:paraId="18A9374C" w14:textId="77777777" w:rsidR="00FB1FEB" w:rsidRDefault="00FB1FEB" w:rsidP="00FB1FEB">
      <w:pPr>
        <w:pStyle w:val="Paragraphedeliste"/>
        <w:ind w:left="426"/>
      </w:pPr>
    </w:p>
    <w:p w14:paraId="2EBB1DA0" w14:textId="77777777" w:rsidR="00752B4F" w:rsidRDefault="00752B4F" w:rsidP="00752B4F">
      <w:pPr>
        <w:pStyle w:val="Paragraphedeliste"/>
        <w:numPr>
          <w:ilvl w:val="0"/>
          <w:numId w:val="1"/>
        </w:numPr>
        <w:ind w:left="426"/>
      </w:pPr>
      <w:r w:rsidRPr="00752B4F">
        <w:t xml:space="preserve">Pourquoi la protection du droit à la vie privée, notamment des renseignements et données personnelles, est-elle devenue problématique dans l’environnement électronique dans lequel nous évoluons aujourd’hui? </w:t>
      </w:r>
    </w:p>
    <w:p w14:paraId="5B6C53BF" w14:textId="77777777" w:rsidR="00FB1FEB" w:rsidRDefault="00FB1FEB" w:rsidP="00FB1FEB">
      <w:pPr>
        <w:pStyle w:val="Paragraphedeliste"/>
        <w:ind w:left="426"/>
      </w:pPr>
    </w:p>
    <w:p w14:paraId="65D5B14F" w14:textId="77777777" w:rsidR="00752B4F" w:rsidRDefault="00752B4F" w:rsidP="00752B4F">
      <w:pPr>
        <w:pStyle w:val="Paragraphedeliste"/>
        <w:numPr>
          <w:ilvl w:val="0"/>
          <w:numId w:val="1"/>
        </w:numPr>
        <w:ind w:left="426"/>
      </w:pPr>
      <w:r w:rsidRPr="00752B4F">
        <w:t xml:space="preserve">Qu’est-ce qui distingue le droit de voter de la responsabilité de voter? </w:t>
      </w:r>
    </w:p>
    <w:p w14:paraId="52000541" w14:textId="77777777" w:rsidR="00FB1FEB" w:rsidRDefault="00FB1FEB" w:rsidP="00FB1FEB">
      <w:pPr>
        <w:pStyle w:val="Paragraphedeliste"/>
        <w:ind w:left="426"/>
      </w:pPr>
    </w:p>
    <w:p w14:paraId="65D67B7B" w14:textId="77777777" w:rsidR="00752B4F" w:rsidRDefault="00752B4F" w:rsidP="00752B4F">
      <w:pPr>
        <w:pStyle w:val="Paragraphedeliste"/>
        <w:numPr>
          <w:ilvl w:val="0"/>
          <w:numId w:val="1"/>
        </w:numPr>
        <w:ind w:left="426"/>
      </w:pPr>
      <w:r w:rsidRPr="00752B4F">
        <w:t xml:space="preserve">Pourquoi est-il important que toutes les citoyennes et tous les citoyens canadiens exercent leur droit de vote? </w:t>
      </w:r>
    </w:p>
    <w:p w14:paraId="704C1AF6" w14:textId="77777777" w:rsidR="00FB1FEB" w:rsidRDefault="00FB1FEB" w:rsidP="00FB1FEB">
      <w:pPr>
        <w:pStyle w:val="Paragraphedeliste"/>
        <w:ind w:left="426"/>
      </w:pPr>
    </w:p>
    <w:p w14:paraId="32B3442E" w14:textId="77777777" w:rsidR="00752B4F" w:rsidRDefault="00752B4F" w:rsidP="00752B4F">
      <w:pPr>
        <w:pStyle w:val="Paragraphedeliste"/>
        <w:numPr>
          <w:ilvl w:val="0"/>
          <w:numId w:val="1"/>
        </w:numPr>
        <w:ind w:left="426"/>
      </w:pPr>
      <w:r w:rsidRPr="00752B4F">
        <w:t>Quelle responsabilité civique ont assumée les activistes ayant organisé le sauvetage de l’hôpital Montfort?</w:t>
      </w:r>
      <w:r w:rsidR="00FB1FEB">
        <w:t xml:space="preserve"> (voir article)  Comment ceci est semblable à la situation présentement avec les universités francophones et le gouvernement ontarien?</w:t>
      </w:r>
    </w:p>
    <w:sectPr w:rsidR="00752B4F" w:rsidSect="00E5119C">
      <w:headerReference w:type="default" r:id="rId15"/>
      <w:pgSz w:w="12240" w:h="15840"/>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9A56F" w14:textId="77777777" w:rsidR="00561DF8" w:rsidRDefault="00561DF8" w:rsidP="00514E57">
      <w:pPr>
        <w:spacing w:after="0" w:line="240" w:lineRule="auto"/>
      </w:pPr>
      <w:r>
        <w:separator/>
      </w:r>
    </w:p>
  </w:endnote>
  <w:endnote w:type="continuationSeparator" w:id="0">
    <w:p w14:paraId="54F94700" w14:textId="77777777" w:rsidR="00561DF8" w:rsidRDefault="00561DF8" w:rsidP="0051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54897" w14:textId="77777777" w:rsidR="00561DF8" w:rsidRDefault="00561DF8" w:rsidP="00514E57">
      <w:pPr>
        <w:spacing w:after="0" w:line="240" w:lineRule="auto"/>
      </w:pPr>
      <w:r>
        <w:separator/>
      </w:r>
    </w:p>
  </w:footnote>
  <w:footnote w:type="continuationSeparator" w:id="0">
    <w:p w14:paraId="795CB5E1" w14:textId="77777777" w:rsidR="00561DF8" w:rsidRDefault="00561DF8" w:rsidP="0051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1A3B" w14:textId="77777777" w:rsidR="00514E57" w:rsidRPr="00514E57" w:rsidRDefault="00514E57">
    <w:pPr>
      <w:pStyle w:val="En-tte"/>
      <w:rPr>
        <w:sz w:val="18"/>
        <w:szCs w:val="18"/>
      </w:rPr>
    </w:pPr>
    <w:r w:rsidRPr="00514E57">
      <w:rPr>
        <w:sz w:val="18"/>
        <w:szCs w:val="18"/>
      </w:rPr>
      <w:t>CHV20</w:t>
    </w:r>
    <w:r w:rsidRPr="00514E57">
      <w:rPr>
        <w:sz w:val="18"/>
        <w:szCs w:val="18"/>
      </w:rPr>
      <w:ptab w:relativeTo="margin" w:alignment="center" w:leader="none"/>
    </w:r>
    <w:r w:rsidRPr="00514E57">
      <w:rPr>
        <w:sz w:val="18"/>
        <w:szCs w:val="18"/>
      </w:rPr>
      <w:ptab w:relativeTo="margin" w:alignment="right" w:leader="none"/>
    </w:r>
    <w:r w:rsidR="00EC1CC3">
      <w:rPr>
        <w:sz w:val="18"/>
        <w:szCs w:val="18"/>
      </w:rPr>
      <w:t>A.1</w:t>
    </w:r>
    <w:r w:rsidR="009E163F">
      <w:rPr>
        <w:sz w:val="18"/>
        <w:szCs w:val="18"/>
      </w:rPr>
      <w:t>.1</w:t>
    </w:r>
    <w:r w:rsidR="00EC1CC3">
      <w:rPr>
        <w:sz w:val="18"/>
        <w:szCs w:val="18"/>
      </w:rPr>
      <w:t xml:space="preserve"> - </w:t>
    </w:r>
    <w:r w:rsidRPr="00514E57">
      <w:rPr>
        <w:sz w:val="18"/>
        <w:szCs w:val="18"/>
      </w:rPr>
      <w:t>PRISE DE CONSCIENCE CIVIQUE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22D79"/>
    <w:multiLevelType w:val="hybridMultilevel"/>
    <w:tmpl w:val="6B2266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57"/>
    <w:rsid w:val="00086B91"/>
    <w:rsid w:val="0050566B"/>
    <w:rsid w:val="00514E57"/>
    <w:rsid w:val="00561DF8"/>
    <w:rsid w:val="00752B4F"/>
    <w:rsid w:val="008D4A5D"/>
    <w:rsid w:val="009E163F"/>
    <w:rsid w:val="00DB5770"/>
    <w:rsid w:val="00E5119C"/>
    <w:rsid w:val="00EC1CC3"/>
    <w:rsid w:val="00FB1F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BEE6"/>
  <w15:chartTrackingRefBased/>
  <w15:docId w15:val="{E5969AF9-BEC5-4196-B967-6544516E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4E57"/>
    <w:pPr>
      <w:tabs>
        <w:tab w:val="center" w:pos="4320"/>
        <w:tab w:val="right" w:pos="8640"/>
      </w:tabs>
      <w:spacing w:after="0" w:line="240" w:lineRule="auto"/>
    </w:pPr>
  </w:style>
  <w:style w:type="character" w:customStyle="1" w:styleId="En-tteCar">
    <w:name w:val="En-tête Car"/>
    <w:basedOn w:val="Policepardfaut"/>
    <w:link w:val="En-tte"/>
    <w:uiPriority w:val="99"/>
    <w:rsid w:val="00514E57"/>
  </w:style>
  <w:style w:type="paragraph" w:styleId="Pieddepage">
    <w:name w:val="footer"/>
    <w:basedOn w:val="Normal"/>
    <w:link w:val="PieddepageCar"/>
    <w:uiPriority w:val="99"/>
    <w:unhideWhenUsed/>
    <w:rsid w:val="00514E5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14E57"/>
  </w:style>
  <w:style w:type="table" w:styleId="Grilledutableau">
    <w:name w:val="Table Grid"/>
    <w:basedOn w:val="TableauNormal"/>
    <w:uiPriority w:val="39"/>
    <w:rsid w:val="0051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2B4F"/>
    <w:rPr>
      <w:color w:val="0563C1" w:themeColor="hyperlink"/>
      <w:u w:val="single"/>
    </w:rPr>
  </w:style>
  <w:style w:type="character" w:styleId="Mentionnonrsolue">
    <w:name w:val="Unresolved Mention"/>
    <w:basedOn w:val="Policepardfaut"/>
    <w:uiPriority w:val="99"/>
    <w:semiHidden/>
    <w:unhideWhenUsed/>
    <w:rsid w:val="00752B4F"/>
    <w:rPr>
      <w:color w:val="605E5C"/>
      <w:shd w:val="clear" w:color="auto" w:fill="E1DFDD"/>
    </w:rPr>
  </w:style>
  <w:style w:type="paragraph" w:styleId="Paragraphedeliste">
    <w:name w:val="List Paragraph"/>
    <w:basedOn w:val="Normal"/>
    <w:uiPriority w:val="34"/>
    <w:qFormat/>
    <w:rsid w:val="00752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anadianencyclopedia.ca/fr/article/loi-constitutionnelle-de-1982" TargetMode="External"/><Relationship Id="rId13" Type="http://schemas.openxmlformats.org/officeDocument/2006/relationships/hyperlink" Target="http://chv20curtis.weebl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cinet.ca/politique-canadienne-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immigration-refugies-citoyennete/organisation/publications-guides/decouvrir-canada/lisez-ligne/droits-responsabilites-citoyennete.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anada.ca/fr/patrimoine-canadien/services/comment-droits-proteges/guide-charte-canadienne-droits-libertes.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hv20-russell.weebly.com/part-1-informed-citizenship.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754</Words>
  <Characters>4149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5</cp:revision>
  <dcterms:created xsi:type="dcterms:W3CDTF">2020-06-29T21:33:00Z</dcterms:created>
  <dcterms:modified xsi:type="dcterms:W3CDTF">2020-06-29T23:20:00Z</dcterms:modified>
</cp:coreProperties>
</file>